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Times New Roman" w:eastAsia="宋体" w:hAnsi="Times New Roman" w:cs="Times New Roman"/>
          <w:sz w:val="24"/>
          <w:szCs w:val="24"/>
        </w:rPr>
        <w:t> </w:t>
      </w:r>
    </w:p>
    <w:p w:rsidR="00484DD6" w:rsidRPr="00484DD6" w:rsidRDefault="00484DD6" w:rsidP="00484DD6">
      <w:pPr>
        <w:shd w:val="clear" w:color="auto" w:fill="FFFFFF"/>
        <w:wordWrap w:val="0"/>
        <w:adjustRightInd/>
        <w:snapToGrid/>
        <w:spacing w:after="0" w:line="432" w:lineRule="atLeast"/>
        <w:ind w:firstLine="422"/>
        <w:jc w:val="center"/>
        <w:rPr>
          <w:rFonts w:ascii="Times New Roman" w:eastAsia="宋体" w:hAnsi="Times New Roman" w:cs="Times New Roman"/>
          <w:b/>
          <w:sz w:val="32"/>
          <w:szCs w:val="32"/>
        </w:rPr>
      </w:pPr>
      <w:r w:rsidRPr="00484DD6">
        <w:rPr>
          <w:rFonts w:ascii="宋体" w:eastAsia="宋体" w:hAnsi="宋体" w:cs="Times New Roman" w:hint="eastAsia"/>
          <w:b/>
          <w:sz w:val="32"/>
          <w:szCs w:val="32"/>
        </w:rPr>
        <w:t>长沙市人民政府办公厅</w:t>
      </w:r>
    </w:p>
    <w:p w:rsidR="00484DD6" w:rsidRPr="00484DD6" w:rsidRDefault="00484DD6" w:rsidP="00484DD6">
      <w:pPr>
        <w:shd w:val="clear" w:color="auto" w:fill="FFFFFF"/>
        <w:wordWrap w:val="0"/>
        <w:adjustRightInd/>
        <w:snapToGrid/>
        <w:spacing w:after="0" w:line="432" w:lineRule="atLeast"/>
        <w:ind w:firstLine="422"/>
        <w:jc w:val="center"/>
        <w:rPr>
          <w:rFonts w:ascii="Times New Roman" w:eastAsia="宋体" w:hAnsi="Times New Roman" w:cs="Times New Roman"/>
          <w:b/>
          <w:sz w:val="32"/>
          <w:szCs w:val="32"/>
        </w:rPr>
      </w:pPr>
      <w:r w:rsidRPr="00484DD6">
        <w:rPr>
          <w:rFonts w:ascii="宋体" w:eastAsia="宋体" w:hAnsi="宋体" w:cs="Times New Roman" w:hint="eastAsia"/>
          <w:b/>
          <w:sz w:val="32"/>
          <w:szCs w:val="32"/>
        </w:rPr>
        <w:t>关于进一步加强房地产市场调控工作的通知</w:t>
      </w:r>
    </w:p>
    <w:p w:rsidR="00484DD6" w:rsidRDefault="00484DD6" w:rsidP="00484DD6">
      <w:pPr>
        <w:shd w:val="clear" w:color="auto" w:fill="FFFFFF"/>
        <w:wordWrap w:val="0"/>
        <w:adjustRightInd/>
        <w:snapToGrid/>
        <w:spacing w:after="0" w:line="432" w:lineRule="atLeast"/>
        <w:jc w:val="both"/>
        <w:rPr>
          <w:rFonts w:ascii="Times New Roman" w:eastAsia="宋体" w:hAnsi="Times New Roman" w:cs="Times New Roman" w:hint="eastAsia"/>
          <w:sz w:val="24"/>
          <w:szCs w:val="24"/>
        </w:rPr>
      </w:pPr>
    </w:p>
    <w:p w:rsidR="00484DD6" w:rsidRPr="00484DD6" w:rsidRDefault="00484DD6" w:rsidP="00484DD6">
      <w:pPr>
        <w:shd w:val="clear" w:color="auto" w:fill="FFFFFF"/>
        <w:wordWrap w:val="0"/>
        <w:adjustRightInd/>
        <w:snapToGrid/>
        <w:spacing w:after="0" w:line="432" w:lineRule="atLeast"/>
        <w:jc w:val="both"/>
        <w:rPr>
          <w:rFonts w:ascii="Times New Roman" w:eastAsia="宋体" w:hAnsi="Times New Roman" w:cs="Times New Roman"/>
          <w:sz w:val="24"/>
          <w:szCs w:val="24"/>
        </w:rPr>
      </w:pPr>
      <w:r w:rsidRPr="00484DD6">
        <w:rPr>
          <w:rFonts w:ascii="宋体" w:eastAsia="宋体" w:hAnsi="宋体" w:cs="Times New Roman" w:hint="eastAsia"/>
          <w:sz w:val="24"/>
          <w:szCs w:val="24"/>
        </w:rPr>
        <w:t>各区县（市）人民政府，市直机关各单位：</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为保障刚性购房需求，遏制投机炒房，维护房地产市场秩序，促进房地产市场平稳健康发展，经市人民政府同意，现就有关事项通知如下：</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一、加强项目监管，加快房源入市。全面建立在建楼盘清单，按项目节点加快商品住房入市。在建楼盘已达到预售条件的，必须在</w:t>
      </w:r>
      <w:r w:rsidRPr="00484DD6">
        <w:rPr>
          <w:rFonts w:ascii="Times New Roman" w:eastAsia="宋体" w:hAnsi="Times New Roman" w:cs="Times New Roman"/>
          <w:sz w:val="24"/>
          <w:szCs w:val="24"/>
        </w:rPr>
        <w:t> 30</w:t>
      </w:r>
      <w:r w:rsidRPr="00484DD6">
        <w:rPr>
          <w:rFonts w:ascii="宋体" w:eastAsia="宋体" w:hAnsi="宋体" w:cs="Times New Roman" w:hint="eastAsia"/>
          <w:sz w:val="24"/>
          <w:szCs w:val="24"/>
        </w:rPr>
        <w:t>日内办理预售许可；已办理价格监制的，必须在</w:t>
      </w:r>
      <w:r w:rsidRPr="00484DD6">
        <w:rPr>
          <w:rFonts w:ascii="Times New Roman" w:eastAsia="宋体" w:hAnsi="Times New Roman" w:cs="Times New Roman"/>
          <w:sz w:val="24"/>
          <w:szCs w:val="24"/>
        </w:rPr>
        <w:t>20</w:t>
      </w:r>
      <w:r w:rsidRPr="00484DD6">
        <w:rPr>
          <w:rFonts w:ascii="宋体" w:eastAsia="宋体" w:hAnsi="宋体" w:cs="Times New Roman" w:hint="eastAsia"/>
          <w:sz w:val="24"/>
          <w:szCs w:val="24"/>
        </w:rPr>
        <w:t>日内办理预售许可；已办理预售许可的，必须在</w:t>
      </w:r>
      <w:r w:rsidRPr="00484DD6">
        <w:rPr>
          <w:rFonts w:ascii="Times New Roman" w:eastAsia="宋体" w:hAnsi="Times New Roman" w:cs="Times New Roman"/>
          <w:sz w:val="24"/>
          <w:szCs w:val="24"/>
        </w:rPr>
        <w:t>10</w:t>
      </w:r>
      <w:r w:rsidRPr="00484DD6">
        <w:rPr>
          <w:rFonts w:ascii="宋体" w:eastAsia="宋体" w:hAnsi="宋体" w:cs="Times New Roman" w:hint="eastAsia"/>
          <w:sz w:val="24"/>
          <w:szCs w:val="24"/>
        </w:rPr>
        <w:t>日内一次性对外公开销售。捂盘惜售的房地产开发企业，一律纳入“黑名单”管理。</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二、严格落实年度土地出让计划，优先保障住宅用地供应。住宅用地供应实行商品住宅用地和安居型住宅用地挂钩，安居型住宅用地占比不少于</w:t>
      </w:r>
      <w:r w:rsidRPr="00484DD6">
        <w:rPr>
          <w:rFonts w:ascii="Times New Roman" w:eastAsia="宋体" w:hAnsi="Times New Roman" w:cs="Times New Roman"/>
          <w:sz w:val="24"/>
          <w:szCs w:val="24"/>
        </w:rPr>
        <w:t>60% </w:t>
      </w:r>
      <w:r w:rsidRPr="00484DD6">
        <w:rPr>
          <w:rFonts w:ascii="宋体" w:eastAsia="宋体" w:hAnsi="宋体" w:cs="Times New Roman" w:hint="eastAsia"/>
          <w:sz w:val="24"/>
          <w:szCs w:val="24"/>
        </w:rPr>
        <w:t>。安居型住房优先供应首套刚需购房群体，采取限房价方式供地。全面清理闲置土地，严厉整治囤地惜建行为，加强对已供土地未开工项目的清查督办，依法依合同强化对闲置土地清理的刚性约束。</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三、进一步加强商品住房（含新建商品住房和二手住房）购买资格审查，在我市限购区域（除浏阳市、宁乡市以外的行政区域）购买商品住房须符合以下规定：</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（一）本市户籍家庭在限购区域内已有</w:t>
      </w:r>
      <w:r w:rsidRPr="00484DD6">
        <w:rPr>
          <w:rFonts w:ascii="Times New Roman" w:eastAsia="宋体" w:hAnsi="Times New Roman" w:cs="Times New Roman"/>
          <w:sz w:val="24"/>
          <w:szCs w:val="24"/>
        </w:rPr>
        <w:t>2</w:t>
      </w:r>
      <w:r w:rsidRPr="00484DD6">
        <w:rPr>
          <w:rFonts w:ascii="宋体" w:eastAsia="宋体" w:hAnsi="宋体" w:cs="Times New Roman" w:hint="eastAsia"/>
          <w:sz w:val="24"/>
          <w:szCs w:val="24"/>
        </w:rPr>
        <w:t>套及以上住房的，不得在限购区域内再购买商品住房；本市户籍成年单身家庭和非本市户籍家庭在限购区域内已有</w:t>
      </w:r>
      <w:r w:rsidRPr="00484DD6">
        <w:rPr>
          <w:rFonts w:ascii="Times New Roman" w:eastAsia="宋体" w:hAnsi="Times New Roman" w:cs="Times New Roman"/>
          <w:sz w:val="24"/>
          <w:szCs w:val="24"/>
        </w:rPr>
        <w:t>1</w:t>
      </w:r>
      <w:r w:rsidRPr="00484DD6">
        <w:rPr>
          <w:rFonts w:ascii="宋体" w:eastAsia="宋体" w:hAnsi="宋体" w:cs="Times New Roman" w:hint="eastAsia"/>
          <w:sz w:val="24"/>
          <w:szCs w:val="24"/>
        </w:rPr>
        <w:t>套及以上住房的，不得在限购区域内再购买商品住房。</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（二）本市户籍家庭在限购区域内已有</w:t>
      </w:r>
      <w:r w:rsidRPr="00484DD6">
        <w:rPr>
          <w:rFonts w:ascii="Times New Roman" w:eastAsia="宋体" w:hAnsi="Times New Roman" w:cs="Times New Roman"/>
          <w:sz w:val="24"/>
          <w:szCs w:val="24"/>
        </w:rPr>
        <w:t>1</w:t>
      </w:r>
      <w:r w:rsidRPr="00484DD6">
        <w:rPr>
          <w:rFonts w:ascii="宋体" w:eastAsia="宋体" w:hAnsi="宋体" w:cs="Times New Roman" w:hint="eastAsia"/>
          <w:sz w:val="24"/>
          <w:szCs w:val="24"/>
        </w:rPr>
        <w:t>套住房的，取得不动产权属证书满</w:t>
      </w:r>
      <w:r w:rsidRPr="00484DD6">
        <w:rPr>
          <w:rFonts w:ascii="Times New Roman" w:eastAsia="宋体" w:hAnsi="Times New Roman" w:cs="Times New Roman"/>
          <w:sz w:val="24"/>
          <w:szCs w:val="24"/>
        </w:rPr>
        <w:t>4</w:t>
      </w:r>
      <w:r w:rsidRPr="00484DD6">
        <w:rPr>
          <w:rFonts w:ascii="宋体" w:eastAsia="宋体" w:hAnsi="宋体" w:cs="Times New Roman" w:hint="eastAsia"/>
          <w:sz w:val="24"/>
          <w:szCs w:val="24"/>
        </w:rPr>
        <w:t>年后方可购买第</w:t>
      </w:r>
      <w:r w:rsidRPr="00484DD6">
        <w:rPr>
          <w:rFonts w:ascii="Times New Roman" w:eastAsia="宋体" w:hAnsi="Times New Roman" w:cs="Times New Roman"/>
          <w:sz w:val="24"/>
          <w:szCs w:val="24"/>
        </w:rPr>
        <w:t>2</w:t>
      </w:r>
      <w:r w:rsidRPr="00484DD6">
        <w:rPr>
          <w:rFonts w:ascii="宋体" w:eastAsia="宋体" w:hAnsi="宋体" w:cs="Times New Roman" w:hint="eastAsia"/>
          <w:sz w:val="24"/>
          <w:szCs w:val="24"/>
        </w:rPr>
        <w:t>套商品住房。</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（三）市外迁入的户籍家庭（退伍转业、家属随军落户的除外），落户满</w:t>
      </w:r>
      <w:r w:rsidRPr="00484DD6">
        <w:rPr>
          <w:rFonts w:ascii="Times New Roman" w:eastAsia="宋体" w:hAnsi="Times New Roman" w:cs="Times New Roman"/>
          <w:sz w:val="24"/>
          <w:szCs w:val="24"/>
        </w:rPr>
        <w:t>1</w:t>
      </w:r>
      <w:r w:rsidRPr="00484DD6">
        <w:rPr>
          <w:rFonts w:ascii="宋体" w:eastAsia="宋体" w:hAnsi="宋体" w:cs="Times New Roman" w:hint="eastAsia"/>
          <w:sz w:val="24"/>
          <w:szCs w:val="24"/>
        </w:rPr>
        <w:t>年且在本市稳定就业，或在本市连续缴纳</w:t>
      </w:r>
      <w:r w:rsidRPr="00484DD6">
        <w:rPr>
          <w:rFonts w:ascii="Times New Roman" w:eastAsia="宋体" w:hAnsi="Times New Roman" w:cs="Times New Roman"/>
          <w:sz w:val="24"/>
          <w:szCs w:val="24"/>
        </w:rPr>
        <w:t>24</w:t>
      </w:r>
      <w:r w:rsidRPr="00484DD6">
        <w:rPr>
          <w:rFonts w:ascii="宋体" w:eastAsia="宋体" w:hAnsi="宋体" w:cs="Times New Roman" w:hint="eastAsia"/>
          <w:sz w:val="24"/>
          <w:szCs w:val="24"/>
        </w:rPr>
        <w:t>个月个人所得税（或社会保险），在限购区域内限购</w:t>
      </w:r>
      <w:r w:rsidRPr="00484DD6">
        <w:rPr>
          <w:rFonts w:ascii="Times New Roman" w:eastAsia="宋体" w:hAnsi="Times New Roman" w:cs="Times New Roman"/>
          <w:sz w:val="24"/>
          <w:szCs w:val="24"/>
        </w:rPr>
        <w:t>1</w:t>
      </w:r>
      <w:r w:rsidRPr="00484DD6">
        <w:rPr>
          <w:rFonts w:ascii="宋体" w:eastAsia="宋体" w:hAnsi="宋体" w:cs="Times New Roman" w:hint="eastAsia"/>
          <w:sz w:val="24"/>
          <w:szCs w:val="24"/>
        </w:rPr>
        <w:t>套商品住房。</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（四）在本市稳定就业且无住房的非本市户籍家庭，连续缴纳</w:t>
      </w:r>
      <w:r w:rsidRPr="00484DD6">
        <w:rPr>
          <w:rFonts w:ascii="Times New Roman" w:eastAsia="宋体" w:hAnsi="Times New Roman" w:cs="Times New Roman"/>
          <w:sz w:val="24"/>
          <w:szCs w:val="24"/>
        </w:rPr>
        <w:t>24</w:t>
      </w:r>
      <w:r w:rsidRPr="00484DD6">
        <w:rPr>
          <w:rFonts w:ascii="宋体" w:eastAsia="宋体" w:hAnsi="宋体" w:cs="Times New Roman" w:hint="eastAsia"/>
          <w:sz w:val="24"/>
          <w:szCs w:val="24"/>
        </w:rPr>
        <w:t>个月个人所得税（或社会保险），在限购区域内限购</w:t>
      </w:r>
      <w:r w:rsidRPr="00484DD6">
        <w:rPr>
          <w:rFonts w:ascii="Times New Roman" w:eastAsia="宋体" w:hAnsi="Times New Roman" w:cs="Times New Roman"/>
          <w:sz w:val="24"/>
          <w:szCs w:val="24"/>
        </w:rPr>
        <w:t>1</w:t>
      </w:r>
      <w:r w:rsidRPr="00484DD6">
        <w:rPr>
          <w:rFonts w:ascii="宋体" w:eastAsia="宋体" w:hAnsi="宋体" w:cs="Times New Roman" w:hint="eastAsia"/>
          <w:sz w:val="24"/>
          <w:szCs w:val="24"/>
        </w:rPr>
        <w:t>套商品住房。</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lastRenderedPageBreak/>
        <w:t>（五）父母投靠成年子女落户不满</w:t>
      </w:r>
      <w:r w:rsidRPr="00484DD6">
        <w:rPr>
          <w:rFonts w:ascii="Times New Roman" w:eastAsia="宋体" w:hAnsi="Times New Roman" w:cs="Times New Roman"/>
          <w:sz w:val="24"/>
          <w:szCs w:val="24"/>
        </w:rPr>
        <w:t>2</w:t>
      </w:r>
      <w:r w:rsidRPr="00484DD6">
        <w:rPr>
          <w:rFonts w:ascii="宋体" w:eastAsia="宋体" w:hAnsi="宋体" w:cs="Times New Roman" w:hint="eastAsia"/>
          <w:sz w:val="24"/>
          <w:szCs w:val="24"/>
        </w:rPr>
        <w:t>年的，不得作为单独家庭在限购区域内购买商品住房。未成年人不得单独购买商品住房。落户学校集体户口的在校大学生，不得在限购区域内购买商品住房。</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夫妻离异后，任何一方</w:t>
      </w:r>
      <w:r w:rsidRPr="00484DD6">
        <w:rPr>
          <w:rFonts w:ascii="Times New Roman" w:eastAsia="宋体" w:hAnsi="Times New Roman" w:cs="Times New Roman"/>
          <w:sz w:val="24"/>
          <w:szCs w:val="24"/>
        </w:rPr>
        <w:t> 2</w:t>
      </w:r>
      <w:r w:rsidRPr="00484DD6">
        <w:rPr>
          <w:rFonts w:ascii="宋体" w:eastAsia="宋体" w:hAnsi="宋体" w:cs="Times New Roman" w:hint="eastAsia"/>
          <w:sz w:val="24"/>
          <w:szCs w:val="24"/>
        </w:rPr>
        <w:t>年内购买商品住房的，其拥有住房套数按离异前家庭总套数计算。</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（六）在本市限购区域内购买的商品住房，须取得不动产权属证书满</w:t>
      </w:r>
      <w:r w:rsidRPr="00484DD6">
        <w:rPr>
          <w:rFonts w:ascii="Times New Roman" w:eastAsia="宋体" w:hAnsi="Times New Roman" w:cs="Times New Roman"/>
          <w:sz w:val="24"/>
          <w:szCs w:val="24"/>
        </w:rPr>
        <w:t>4</w:t>
      </w:r>
      <w:r w:rsidRPr="00484DD6">
        <w:rPr>
          <w:rFonts w:ascii="宋体" w:eastAsia="宋体" w:hAnsi="宋体" w:cs="Times New Roman" w:hint="eastAsia"/>
          <w:sz w:val="24"/>
          <w:szCs w:val="24"/>
        </w:rPr>
        <w:t>年后方可上市交易。</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（七）暂停企业在限购区域内购买商品住房，已购买的商品住房须取得不动产权属证书满</w:t>
      </w:r>
      <w:r w:rsidRPr="00484DD6">
        <w:rPr>
          <w:rFonts w:ascii="Times New Roman" w:eastAsia="宋体" w:hAnsi="Times New Roman" w:cs="Times New Roman"/>
          <w:sz w:val="24"/>
          <w:szCs w:val="24"/>
        </w:rPr>
        <w:t>5</w:t>
      </w:r>
      <w:r w:rsidRPr="00484DD6">
        <w:rPr>
          <w:rFonts w:ascii="宋体" w:eastAsia="宋体" w:hAnsi="宋体" w:cs="Times New Roman" w:hint="eastAsia"/>
          <w:sz w:val="24"/>
          <w:szCs w:val="24"/>
        </w:rPr>
        <w:t>年后方可转让。</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四、加强市外迁入人员户籍管理。严格户口迁入政策和落户条件，实行“一房一户”，租房落户、务工落户、投资兴业落户等须提供就业证明且在本市连续缴纳</w:t>
      </w:r>
      <w:r w:rsidRPr="00484DD6">
        <w:rPr>
          <w:rFonts w:ascii="Times New Roman" w:eastAsia="宋体" w:hAnsi="Times New Roman" w:cs="Times New Roman"/>
          <w:sz w:val="24"/>
          <w:szCs w:val="24"/>
        </w:rPr>
        <w:t>12</w:t>
      </w:r>
      <w:r w:rsidRPr="00484DD6">
        <w:rPr>
          <w:rFonts w:ascii="宋体" w:eastAsia="宋体" w:hAnsi="宋体" w:cs="Times New Roman" w:hint="eastAsia"/>
          <w:sz w:val="24"/>
          <w:szCs w:val="24"/>
        </w:rPr>
        <w:t>个月个人所得税（或社会保险）。严把审批关，从严查处户口迁移中的违法违规行为。</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五、严禁销售炒作，对参加楼盘摇号的人数应进行有效控制，优先限购区域内首套刚需购房者摇号、购房。严禁房地产开发企业以任何形式蓄客和收取认筹金，在取得预售许可前严禁以任何形式组织认筹活动。严禁捆绑销售、变相涨价等违规销售行为。</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六、住房公积金缴存职工在限购区域内购买商品住房申请住房公积金贷款的，贷款额度与缴存额度严格挂钩，购买家庭第二套住房首付款比例不得低于</w:t>
      </w:r>
      <w:r w:rsidRPr="00484DD6">
        <w:rPr>
          <w:rFonts w:ascii="Times New Roman" w:eastAsia="宋体" w:hAnsi="Times New Roman" w:cs="Times New Roman"/>
          <w:sz w:val="24"/>
          <w:szCs w:val="24"/>
        </w:rPr>
        <w:t>60% </w:t>
      </w:r>
      <w:r w:rsidRPr="00484DD6">
        <w:rPr>
          <w:rFonts w:ascii="宋体" w:eastAsia="宋体" w:hAnsi="宋体" w:cs="Times New Roman" w:hint="eastAsia"/>
          <w:sz w:val="24"/>
          <w:szCs w:val="24"/>
        </w:rPr>
        <w:t>。</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七、加大对房地产开发企业的税务稽查力度，严厉打击房产中介机构和从业人员偷逃税行为。严格落实差别化税收政策，适当提高存量房交易个人所得税核定征收率。</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八、对符合我市人才引进条件的，其购房资格、住房公积金使用可不受上述限制，但须获得市组织人事部门的认定。</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九、各区县（市）人民政府和有关单位要加强楼盘销售监管，加大对房地产开发企业、中介机构及从业人员违法违规行为的查处力度，切实维护房地产市场秩序。</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宋体" w:eastAsia="宋体" w:hAnsi="宋体" w:cs="Times New Roman" w:hint="eastAsia"/>
          <w:sz w:val="24"/>
          <w:szCs w:val="24"/>
        </w:rPr>
        <w:t>十、本通知自</w:t>
      </w:r>
      <w:r w:rsidRPr="00484DD6">
        <w:rPr>
          <w:rFonts w:ascii="Times New Roman" w:eastAsia="宋体" w:hAnsi="Times New Roman" w:cs="Times New Roman"/>
          <w:sz w:val="24"/>
          <w:szCs w:val="24"/>
        </w:rPr>
        <w:t>2018</w:t>
      </w:r>
      <w:r w:rsidRPr="00484DD6">
        <w:rPr>
          <w:rFonts w:ascii="宋体" w:eastAsia="宋体" w:hAnsi="宋体" w:cs="Times New Roman" w:hint="eastAsia"/>
          <w:sz w:val="24"/>
          <w:szCs w:val="24"/>
        </w:rPr>
        <w:t>年</w:t>
      </w:r>
      <w:r w:rsidRPr="00484DD6">
        <w:rPr>
          <w:rFonts w:ascii="Times New Roman" w:eastAsia="宋体" w:hAnsi="Times New Roman" w:cs="Times New Roman"/>
          <w:sz w:val="24"/>
          <w:szCs w:val="24"/>
        </w:rPr>
        <w:t> 6</w:t>
      </w:r>
      <w:r w:rsidRPr="00484DD6">
        <w:rPr>
          <w:rFonts w:ascii="宋体" w:eastAsia="宋体" w:hAnsi="宋体" w:cs="Times New Roman" w:hint="eastAsia"/>
          <w:sz w:val="24"/>
          <w:szCs w:val="24"/>
        </w:rPr>
        <w:t>月</w:t>
      </w:r>
      <w:r w:rsidRPr="00484DD6">
        <w:rPr>
          <w:rFonts w:ascii="Times New Roman" w:eastAsia="宋体" w:hAnsi="Times New Roman" w:cs="Times New Roman"/>
          <w:sz w:val="24"/>
          <w:szCs w:val="24"/>
        </w:rPr>
        <w:t> 26</w:t>
      </w:r>
      <w:r w:rsidRPr="00484DD6">
        <w:rPr>
          <w:rFonts w:ascii="宋体" w:eastAsia="宋体" w:hAnsi="宋体" w:cs="Times New Roman" w:hint="eastAsia"/>
          <w:sz w:val="24"/>
          <w:szCs w:val="24"/>
        </w:rPr>
        <w:t>日起施行。我市原有房地产市场调控措施与本通知不一致的，按本通知执行。</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Times New Roman" w:eastAsia="宋体" w:hAnsi="Times New Roman" w:cs="Times New Roman"/>
          <w:sz w:val="24"/>
          <w:szCs w:val="24"/>
        </w:rPr>
        <w:t> </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Times New Roman" w:eastAsia="宋体" w:hAnsi="Times New Roman" w:cs="Times New Roman"/>
          <w:sz w:val="24"/>
          <w:szCs w:val="24"/>
        </w:rPr>
        <w:t> </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Times New Roman" w:eastAsia="宋体" w:hAnsi="Times New Roman" w:cs="Times New Roman"/>
          <w:sz w:val="24"/>
          <w:szCs w:val="24"/>
        </w:rPr>
        <w:lastRenderedPageBreak/>
        <w:t> </w:t>
      </w:r>
    </w:p>
    <w:p w:rsidR="00484DD6" w:rsidRPr="00484DD6" w:rsidRDefault="00484DD6" w:rsidP="00484DD6">
      <w:pPr>
        <w:shd w:val="clear" w:color="auto" w:fill="FFFFFF"/>
        <w:wordWrap w:val="0"/>
        <w:adjustRightInd/>
        <w:snapToGrid/>
        <w:spacing w:after="0" w:line="432" w:lineRule="atLeast"/>
        <w:ind w:firstLine="420"/>
        <w:jc w:val="right"/>
        <w:rPr>
          <w:rFonts w:ascii="Times New Roman" w:eastAsia="宋体" w:hAnsi="Times New Roman" w:cs="Times New Roman"/>
          <w:sz w:val="24"/>
          <w:szCs w:val="24"/>
        </w:rPr>
      </w:pPr>
      <w:r w:rsidRPr="00484DD6">
        <w:rPr>
          <w:rFonts w:ascii="宋体" w:eastAsia="宋体" w:hAnsi="宋体" w:cs="Times New Roman" w:hint="eastAsia"/>
          <w:sz w:val="24"/>
          <w:szCs w:val="24"/>
        </w:rPr>
        <w:t>长沙市人民政府办公厅</w:t>
      </w:r>
    </w:p>
    <w:p w:rsidR="00484DD6" w:rsidRPr="00484DD6" w:rsidRDefault="00484DD6" w:rsidP="00484DD6">
      <w:pPr>
        <w:shd w:val="clear" w:color="auto" w:fill="FFFFFF"/>
        <w:wordWrap w:val="0"/>
        <w:adjustRightInd/>
        <w:snapToGrid/>
        <w:spacing w:after="0" w:line="432" w:lineRule="atLeast"/>
        <w:ind w:firstLine="420"/>
        <w:jc w:val="right"/>
        <w:rPr>
          <w:rFonts w:ascii="Times New Roman" w:eastAsia="宋体" w:hAnsi="Times New Roman" w:cs="Times New Roman"/>
          <w:sz w:val="24"/>
          <w:szCs w:val="24"/>
        </w:rPr>
      </w:pPr>
      <w:r w:rsidRPr="00484DD6">
        <w:rPr>
          <w:rFonts w:ascii="Times New Roman" w:eastAsia="宋体" w:hAnsi="Times New Roman" w:cs="Times New Roman"/>
          <w:sz w:val="24"/>
          <w:szCs w:val="24"/>
        </w:rPr>
        <w:t>2018</w:t>
      </w:r>
      <w:r w:rsidRPr="00484DD6">
        <w:rPr>
          <w:rFonts w:ascii="宋体" w:eastAsia="宋体" w:hAnsi="宋体" w:cs="Times New Roman" w:hint="eastAsia"/>
          <w:sz w:val="24"/>
          <w:szCs w:val="24"/>
        </w:rPr>
        <w:t>年</w:t>
      </w:r>
      <w:r w:rsidRPr="00484DD6">
        <w:rPr>
          <w:rFonts w:ascii="Times New Roman" w:eastAsia="宋体" w:hAnsi="Times New Roman" w:cs="Times New Roman"/>
          <w:sz w:val="24"/>
          <w:szCs w:val="24"/>
        </w:rPr>
        <w:t>6</w:t>
      </w:r>
      <w:r w:rsidRPr="00484DD6">
        <w:rPr>
          <w:rFonts w:ascii="宋体" w:eastAsia="宋体" w:hAnsi="宋体" w:cs="Times New Roman" w:hint="eastAsia"/>
          <w:sz w:val="24"/>
          <w:szCs w:val="24"/>
        </w:rPr>
        <w:t>月</w:t>
      </w:r>
      <w:r w:rsidRPr="00484DD6">
        <w:rPr>
          <w:rFonts w:ascii="Times New Roman" w:eastAsia="宋体" w:hAnsi="Times New Roman" w:cs="Times New Roman"/>
          <w:sz w:val="24"/>
          <w:szCs w:val="24"/>
        </w:rPr>
        <w:t>25</w:t>
      </w:r>
      <w:r w:rsidRPr="00484DD6">
        <w:rPr>
          <w:rFonts w:ascii="宋体" w:eastAsia="宋体" w:hAnsi="宋体" w:cs="Times New Roman" w:hint="eastAsia"/>
          <w:sz w:val="24"/>
          <w:szCs w:val="24"/>
        </w:rPr>
        <w:t>日</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Times New Roman" w:eastAsia="宋体" w:hAnsi="Times New Roman" w:cs="Times New Roman"/>
          <w:sz w:val="24"/>
          <w:szCs w:val="24"/>
        </w:rPr>
        <w:t> </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Times New Roman" w:eastAsia="宋体" w:hAnsi="Times New Roman" w:cs="Times New Roman"/>
          <w:sz w:val="24"/>
          <w:szCs w:val="24"/>
        </w:rPr>
        <w:t> </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Times New Roman" w:eastAsia="宋体" w:hAnsi="Times New Roman" w:cs="Times New Roman"/>
          <w:sz w:val="24"/>
          <w:szCs w:val="24"/>
        </w:rPr>
        <w:t> </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Times New Roman" w:eastAsia="宋体" w:hAnsi="Times New Roman" w:cs="Times New Roman"/>
          <w:sz w:val="24"/>
          <w:szCs w:val="24"/>
        </w:rPr>
        <w:t> </w:t>
      </w:r>
    </w:p>
    <w:p w:rsidR="00484DD6" w:rsidRPr="00484DD6" w:rsidRDefault="00484DD6" w:rsidP="00484DD6">
      <w:pPr>
        <w:shd w:val="clear" w:color="auto" w:fill="FFFFFF"/>
        <w:wordWrap w:val="0"/>
        <w:adjustRightInd/>
        <w:snapToGrid/>
        <w:spacing w:after="0" w:line="432" w:lineRule="atLeast"/>
        <w:ind w:firstLine="420"/>
        <w:jc w:val="both"/>
        <w:rPr>
          <w:rFonts w:ascii="Times New Roman" w:eastAsia="宋体" w:hAnsi="Times New Roman" w:cs="Times New Roman"/>
          <w:sz w:val="24"/>
          <w:szCs w:val="24"/>
        </w:rPr>
      </w:pPr>
      <w:r w:rsidRPr="00484DD6">
        <w:rPr>
          <w:rFonts w:ascii="Times New Roman" w:eastAsia="宋体" w:hAnsi="Times New Roman" w:cs="Times New Roman"/>
          <w:sz w:val="24"/>
          <w:szCs w:val="24"/>
        </w:rPr>
        <w:t> </w:t>
      </w:r>
    </w:p>
    <w:p w:rsidR="004358AB" w:rsidRPr="007A2BFC" w:rsidRDefault="004358AB" w:rsidP="00D31D50">
      <w:pPr>
        <w:spacing w:line="220" w:lineRule="atLeast"/>
        <w:rPr>
          <w:sz w:val="28"/>
          <w:szCs w:val="28"/>
        </w:rPr>
      </w:pPr>
    </w:p>
    <w:sectPr w:rsidR="004358AB" w:rsidRPr="007A2BF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603" w:rsidRDefault="00F22603" w:rsidP="007A2BFC">
      <w:pPr>
        <w:spacing w:after="0"/>
      </w:pPr>
      <w:r>
        <w:separator/>
      </w:r>
    </w:p>
  </w:endnote>
  <w:endnote w:type="continuationSeparator" w:id="0">
    <w:p w:rsidR="00F22603" w:rsidRDefault="00F22603" w:rsidP="007A2B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603" w:rsidRDefault="00F22603" w:rsidP="007A2BFC">
      <w:pPr>
        <w:spacing w:after="0"/>
      </w:pPr>
      <w:r>
        <w:separator/>
      </w:r>
    </w:p>
  </w:footnote>
  <w:footnote w:type="continuationSeparator" w:id="0">
    <w:p w:rsidR="00F22603" w:rsidRDefault="00F22603" w:rsidP="007A2B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9193B"/>
    <w:multiLevelType w:val="multilevel"/>
    <w:tmpl w:val="4B64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F468A"/>
    <w:multiLevelType w:val="multilevel"/>
    <w:tmpl w:val="C760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C52A1"/>
    <w:multiLevelType w:val="multilevel"/>
    <w:tmpl w:val="417A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0F6CF0"/>
    <w:multiLevelType w:val="multilevel"/>
    <w:tmpl w:val="F526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05E10"/>
    <w:rsid w:val="00323B43"/>
    <w:rsid w:val="003D37D8"/>
    <w:rsid w:val="00426133"/>
    <w:rsid w:val="004358AB"/>
    <w:rsid w:val="00484DD6"/>
    <w:rsid w:val="00512584"/>
    <w:rsid w:val="007A2BFC"/>
    <w:rsid w:val="008B7726"/>
    <w:rsid w:val="00D31D50"/>
    <w:rsid w:val="00EB1213"/>
    <w:rsid w:val="00F22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2BF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A2BFC"/>
    <w:rPr>
      <w:rFonts w:ascii="Tahoma" w:hAnsi="Tahoma"/>
      <w:sz w:val="18"/>
      <w:szCs w:val="18"/>
    </w:rPr>
  </w:style>
  <w:style w:type="paragraph" w:styleId="a4">
    <w:name w:val="footer"/>
    <w:basedOn w:val="a"/>
    <w:link w:val="Char0"/>
    <w:uiPriority w:val="99"/>
    <w:semiHidden/>
    <w:unhideWhenUsed/>
    <w:rsid w:val="007A2BFC"/>
    <w:pPr>
      <w:tabs>
        <w:tab w:val="center" w:pos="4153"/>
        <w:tab w:val="right" w:pos="8306"/>
      </w:tabs>
    </w:pPr>
    <w:rPr>
      <w:sz w:val="18"/>
      <w:szCs w:val="18"/>
    </w:rPr>
  </w:style>
  <w:style w:type="character" w:customStyle="1" w:styleId="Char0">
    <w:name w:val="页脚 Char"/>
    <w:basedOn w:val="a0"/>
    <w:link w:val="a4"/>
    <w:uiPriority w:val="99"/>
    <w:semiHidden/>
    <w:rsid w:val="007A2BFC"/>
    <w:rPr>
      <w:rFonts w:ascii="Tahoma" w:hAnsi="Tahoma"/>
      <w:sz w:val="18"/>
      <w:szCs w:val="18"/>
    </w:rPr>
  </w:style>
  <w:style w:type="paragraph" w:styleId="a5">
    <w:name w:val="Normal (Web)"/>
    <w:basedOn w:val="a"/>
    <w:uiPriority w:val="99"/>
    <w:semiHidden/>
    <w:unhideWhenUsed/>
    <w:rsid w:val="007A2BFC"/>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semiHidden/>
    <w:unhideWhenUsed/>
    <w:rsid w:val="00484DD6"/>
    <w:rPr>
      <w:color w:val="0000FF"/>
      <w:u w:val="single"/>
    </w:rPr>
  </w:style>
  <w:style w:type="character" w:customStyle="1" w:styleId="apple-converted-space">
    <w:name w:val="apple-converted-space"/>
    <w:basedOn w:val="a0"/>
    <w:rsid w:val="00484DD6"/>
  </w:style>
  <w:style w:type="paragraph" w:styleId="a7">
    <w:name w:val="Balloon Text"/>
    <w:basedOn w:val="a"/>
    <w:link w:val="Char1"/>
    <w:uiPriority w:val="99"/>
    <w:semiHidden/>
    <w:unhideWhenUsed/>
    <w:rsid w:val="00484DD6"/>
    <w:pPr>
      <w:spacing w:after="0"/>
    </w:pPr>
    <w:rPr>
      <w:sz w:val="18"/>
      <w:szCs w:val="18"/>
    </w:rPr>
  </w:style>
  <w:style w:type="character" w:customStyle="1" w:styleId="Char1">
    <w:name w:val="批注框文本 Char"/>
    <w:basedOn w:val="a0"/>
    <w:link w:val="a7"/>
    <w:uiPriority w:val="99"/>
    <w:semiHidden/>
    <w:rsid w:val="00484DD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4698232">
      <w:bodyDiv w:val="1"/>
      <w:marLeft w:val="0"/>
      <w:marRight w:val="0"/>
      <w:marTop w:val="0"/>
      <w:marBottom w:val="0"/>
      <w:divBdr>
        <w:top w:val="none" w:sz="0" w:space="0" w:color="auto"/>
        <w:left w:val="none" w:sz="0" w:space="0" w:color="auto"/>
        <w:bottom w:val="none" w:sz="0" w:space="0" w:color="auto"/>
        <w:right w:val="none" w:sz="0" w:space="0" w:color="auto"/>
      </w:divBdr>
    </w:div>
    <w:div w:id="173112377">
      <w:bodyDiv w:val="1"/>
      <w:marLeft w:val="0"/>
      <w:marRight w:val="0"/>
      <w:marTop w:val="0"/>
      <w:marBottom w:val="0"/>
      <w:divBdr>
        <w:top w:val="none" w:sz="0" w:space="0" w:color="auto"/>
        <w:left w:val="none" w:sz="0" w:space="0" w:color="auto"/>
        <w:bottom w:val="none" w:sz="0" w:space="0" w:color="auto"/>
        <w:right w:val="none" w:sz="0" w:space="0" w:color="auto"/>
      </w:divBdr>
      <w:divsChild>
        <w:div w:id="293826365">
          <w:marLeft w:val="0"/>
          <w:marRight w:val="0"/>
          <w:marTop w:val="0"/>
          <w:marBottom w:val="0"/>
          <w:divBdr>
            <w:top w:val="none" w:sz="0" w:space="0" w:color="auto"/>
            <w:left w:val="none" w:sz="0" w:space="0" w:color="auto"/>
            <w:bottom w:val="none" w:sz="0" w:space="0" w:color="auto"/>
            <w:right w:val="none" w:sz="0" w:space="0" w:color="auto"/>
          </w:divBdr>
          <w:divsChild>
            <w:div w:id="687877751">
              <w:marLeft w:val="0"/>
              <w:marRight w:val="0"/>
              <w:marTop w:val="0"/>
              <w:marBottom w:val="0"/>
              <w:divBdr>
                <w:top w:val="none" w:sz="0" w:space="0" w:color="auto"/>
                <w:left w:val="none" w:sz="0" w:space="0" w:color="auto"/>
                <w:bottom w:val="none" w:sz="0" w:space="0" w:color="auto"/>
                <w:right w:val="none" w:sz="0" w:space="0" w:color="auto"/>
              </w:divBdr>
              <w:divsChild>
                <w:div w:id="2118600800">
                  <w:marLeft w:val="0"/>
                  <w:marRight w:val="0"/>
                  <w:marTop w:val="150"/>
                  <w:marBottom w:val="150"/>
                  <w:divBdr>
                    <w:top w:val="single" w:sz="6" w:space="1" w:color="DEDEDE"/>
                    <w:left w:val="single" w:sz="6" w:space="1" w:color="DEDEDE"/>
                    <w:bottom w:val="single" w:sz="6" w:space="1" w:color="DEDEDE"/>
                    <w:right w:val="single" w:sz="6" w:space="1" w:color="DEDEDE"/>
                  </w:divBdr>
                </w:div>
                <w:div w:id="42608500">
                  <w:marLeft w:val="0"/>
                  <w:marRight w:val="0"/>
                  <w:marTop w:val="150"/>
                  <w:marBottom w:val="150"/>
                  <w:divBdr>
                    <w:top w:val="single" w:sz="6" w:space="1" w:color="DEDEDE"/>
                    <w:left w:val="single" w:sz="6" w:space="1" w:color="DEDEDE"/>
                    <w:bottom w:val="single" w:sz="6" w:space="1" w:color="DEDEDE"/>
                    <w:right w:val="single" w:sz="6" w:space="1" w:color="DEDEDE"/>
                  </w:divBdr>
                  <w:divsChild>
                    <w:div w:id="369455512">
                      <w:marLeft w:val="0"/>
                      <w:marRight w:val="0"/>
                      <w:marTop w:val="0"/>
                      <w:marBottom w:val="0"/>
                      <w:divBdr>
                        <w:top w:val="none" w:sz="0" w:space="0" w:color="auto"/>
                        <w:left w:val="none" w:sz="0" w:space="0" w:color="auto"/>
                        <w:bottom w:val="none" w:sz="0" w:space="0" w:color="auto"/>
                        <w:right w:val="none" w:sz="0" w:space="0" w:color="auto"/>
                      </w:divBdr>
                      <w:divsChild>
                        <w:div w:id="1348601303">
                          <w:marLeft w:val="0"/>
                          <w:marRight w:val="0"/>
                          <w:marTop w:val="0"/>
                          <w:marBottom w:val="0"/>
                          <w:divBdr>
                            <w:top w:val="none" w:sz="0" w:space="0" w:color="auto"/>
                            <w:left w:val="none" w:sz="0" w:space="0" w:color="auto"/>
                            <w:bottom w:val="none" w:sz="0" w:space="0" w:color="auto"/>
                            <w:right w:val="none" w:sz="0" w:space="0" w:color="auto"/>
                          </w:divBdr>
                          <w:divsChild>
                            <w:div w:id="771323708">
                              <w:marLeft w:val="0"/>
                              <w:marRight w:val="0"/>
                              <w:marTop w:val="150"/>
                              <w:marBottom w:val="150"/>
                              <w:divBdr>
                                <w:top w:val="single" w:sz="6" w:space="4" w:color="808080"/>
                                <w:left w:val="single" w:sz="6" w:space="4" w:color="808080"/>
                                <w:bottom w:val="single" w:sz="6" w:space="4" w:color="808080"/>
                                <w:right w:val="single" w:sz="6" w:space="4" w:color="808080"/>
                              </w:divBdr>
                            </w:div>
                            <w:div w:id="2104260158">
                              <w:marLeft w:val="0"/>
                              <w:marRight w:val="0"/>
                              <w:marTop w:val="75"/>
                              <w:marBottom w:val="75"/>
                              <w:divBdr>
                                <w:top w:val="single" w:sz="6" w:space="15" w:color="808080"/>
                                <w:left w:val="single" w:sz="6" w:space="15" w:color="808080"/>
                                <w:bottom w:val="single" w:sz="6" w:space="15" w:color="808080"/>
                                <w:right w:val="single" w:sz="6" w:space="15" w:color="808080"/>
                              </w:divBdr>
                              <w:divsChild>
                                <w:div w:id="1627391914">
                                  <w:marLeft w:val="0"/>
                                  <w:marRight w:val="0"/>
                                  <w:marTop w:val="0"/>
                                  <w:marBottom w:val="0"/>
                                  <w:divBdr>
                                    <w:top w:val="none" w:sz="0" w:space="0" w:color="auto"/>
                                    <w:left w:val="none" w:sz="0" w:space="0" w:color="auto"/>
                                    <w:bottom w:val="none" w:sz="0" w:space="0" w:color="auto"/>
                                    <w:right w:val="none" w:sz="0" w:space="0" w:color="auto"/>
                                  </w:divBdr>
                                  <w:divsChild>
                                    <w:div w:id="1855269039">
                                      <w:marLeft w:val="0"/>
                                      <w:marRight w:val="0"/>
                                      <w:marTop w:val="0"/>
                                      <w:marBottom w:val="0"/>
                                      <w:divBdr>
                                        <w:top w:val="none" w:sz="0" w:space="0" w:color="auto"/>
                                        <w:left w:val="none" w:sz="0" w:space="0" w:color="auto"/>
                                        <w:bottom w:val="none" w:sz="0" w:space="0" w:color="auto"/>
                                        <w:right w:val="none" w:sz="0" w:space="0" w:color="auto"/>
                                      </w:divBdr>
                                    </w:div>
                                  </w:divsChild>
                                </w:div>
                                <w:div w:id="2800415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4484">
          <w:marLeft w:val="0"/>
          <w:marRight w:val="0"/>
          <w:marTop w:val="75"/>
          <w:marBottom w:val="0"/>
          <w:divBdr>
            <w:top w:val="none" w:sz="0" w:space="0" w:color="auto"/>
            <w:left w:val="none" w:sz="0" w:space="0" w:color="auto"/>
            <w:bottom w:val="none" w:sz="0" w:space="0" w:color="auto"/>
            <w:right w:val="none" w:sz="0" w:space="0" w:color="auto"/>
          </w:divBdr>
          <w:divsChild>
            <w:div w:id="2014603819">
              <w:marLeft w:val="0"/>
              <w:marRight w:val="0"/>
              <w:marTop w:val="0"/>
              <w:marBottom w:val="300"/>
              <w:divBdr>
                <w:top w:val="none" w:sz="0" w:space="0" w:color="auto"/>
                <w:left w:val="none" w:sz="0" w:space="0" w:color="auto"/>
                <w:bottom w:val="none" w:sz="0" w:space="0" w:color="auto"/>
                <w:right w:val="none" w:sz="0" w:space="0" w:color="auto"/>
              </w:divBdr>
            </w:div>
            <w:div w:id="759835827">
              <w:marLeft w:val="0"/>
              <w:marRight w:val="0"/>
              <w:marTop w:val="300"/>
              <w:marBottom w:val="150"/>
              <w:divBdr>
                <w:top w:val="none" w:sz="0" w:space="0" w:color="auto"/>
                <w:left w:val="none" w:sz="0" w:space="0" w:color="auto"/>
                <w:bottom w:val="none" w:sz="0" w:space="0" w:color="auto"/>
                <w:right w:val="none" w:sz="0" w:space="0" w:color="auto"/>
              </w:divBdr>
            </w:div>
          </w:divsChild>
        </w:div>
        <w:div w:id="1028339573">
          <w:marLeft w:val="0"/>
          <w:marRight w:val="0"/>
          <w:marTop w:val="0"/>
          <w:marBottom w:val="0"/>
          <w:divBdr>
            <w:top w:val="none" w:sz="0" w:space="0" w:color="auto"/>
            <w:left w:val="none" w:sz="0" w:space="0" w:color="auto"/>
            <w:bottom w:val="none" w:sz="0" w:space="0" w:color="auto"/>
            <w:right w:val="none" w:sz="0" w:space="0" w:color="auto"/>
          </w:divBdr>
          <w:divsChild>
            <w:div w:id="347214586">
              <w:marLeft w:val="0"/>
              <w:marRight w:val="0"/>
              <w:marTop w:val="0"/>
              <w:marBottom w:val="0"/>
              <w:divBdr>
                <w:top w:val="none" w:sz="0" w:space="0" w:color="auto"/>
                <w:left w:val="none" w:sz="0" w:space="0" w:color="auto"/>
                <w:bottom w:val="none" w:sz="0" w:space="0" w:color="auto"/>
                <w:right w:val="none" w:sz="0" w:space="0" w:color="auto"/>
              </w:divBdr>
              <w:divsChild>
                <w:div w:id="2005934696">
                  <w:marLeft w:val="0"/>
                  <w:marRight w:val="0"/>
                  <w:marTop w:val="195"/>
                  <w:marBottom w:val="0"/>
                  <w:divBdr>
                    <w:top w:val="none" w:sz="0" w:space="0" w:color="auto"/>
                    <w:left w:val="none" w:sz="0" w:space="0" w:color="auto"/>
                    <w:bottom w:val="none" w:sz="0" w:space="0" w:color="auto"/>
                    <w:right w:val="none" w:sz="0" w:space="0" w:color="auto"/>
                  </w:divBdr>
                </w:div>
              </w:divsChild>
            </w:div>
            <w:div w:id="5628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2018-07-24T07:50:00Z</dcterms:modified>
</cp:coreProperties>
</file>